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34ED5" w14:textId="0CA393A2" w:rsidR="00207F18" w:rsidRDefault="00207F18" w:rsidP="00207F18">
      <w:pPr>
        <w:rPr>
          <w:rFonts w:ascii="Comic Sans MS" w:hAnsi="Comic Sans MS"/>
        </w:rPr>
      </w:pPr>
      <w:r w:rsidRPr="00207F18">
        <w:rPr>
          <w:rFonts w:ascii="Comic Sans MS" w:hAnsi="Comic Sans MS"/>
          <w:u w:val="single"/>
        </w:rPr>
        <w:t>Terreur et coup d’Etat</w:t>
      </w:r>
      <w:r>
        <w:rPr>
          <w:rFonts w:ascii="Comic Sans MS" w:hAnsi="Comic Sans MS"/>
        </w:rPr>
        <w:t>.</w:t>
      </w:r>
    </w:p>
    <w:p w14:paraId="6AB40855" w14:textId="33788236" w:rsidR="00207F18" w:rsidRDefault="00207F18" w:rsidP="00207F18">
      <w:pPr>
        <w:rPr>
          <w:rFonts w:ascii="Comic Sans MS" w:hAnsi="Comic Sans MS"/>
        </w:rPr>
      </w:pPr>
    </w:p>
    <w:p w14:paraId="6ECE0765" w14:textId="13DF955E" w:rsidR="00207F18" w:rsidRPr="00207F18" w:rsidRDefault="00207F18" w:rsidP="00207F18">
      <w:pPr>
        <w:jc w:val="both"/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La </w:t>
      </w:r>
      <w:r w:rsidRPr="00207F18">
        <w:rPr>
          <w:rFonts w:ascii="Comic Sans MS" w:hAnsi="Comic Sans MS" w:cs="Arial"/>
          <w:b/>
          <w:bCs/>
          <w:sz w:val="20"/>
          <w:szCs w:val="20"/>
          <w:shd w:val="clear" w:color="auto" w:fill="FFFFFF"/>
        </w:rPr>
        <w:t>Terreur</w:t>
      </w:r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 est le terme communément employé pour désigner une période de la </w:t>
      </w:r>
      <w:hyperlink r:id="rId4" w:tooltip="Révolution française" w:history="1">
        <w:r w:rsidRPr="00207F18"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  <w:shd w:val="clear" w:color="auto" w:fill="FFFFFF"/>
          </w:rPr>
          <w:t>Révolution française</w:t>
        </w:r>
      </w:hyperlink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 entre </w:t>
      </w:r>
      <w:hyperlink r:id="rId5" w:tooltip="1793 en France" w:history="1">
        <w:r w:rsidRPr="00207F18"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  <w:shd w:val="clear" w:color="auto" w:fill="FFFFFF"/>
          </w:rPr>
          <w:t>1793</w:t>
        </w:r>
      </w:hyperlink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 et </w:t>
      </w:r>
      <w:hyperlink r:id="rId6" w:tooltip="1794 en France" w:history="1">
        <w:r w:rsidRPr="00207F18"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  <w:shd w:val="clear" w:color="auto" w:fill="FFFFFF"/>
          </w:rPr>
          <w:t>1794</w:t>
        </w:r>
      </w:hyperlink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. Elle est caractérisée par la mise en place d'un </w:t>
      </w:r>
      <w:hyperlink r:id="rId7" w:tooltip="Convention nationale" w:history="1">
        <w:r w:rsidRPr="00207F18"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  <w:shd w:val="clear" w:color="auto" w:fill="FFFFFF"/>
          </w:rPr>
          <w:t>gouvernement révolutionnaire</w:t>
        </w:r>
      </w:hyperlink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. Ce gouvernement issu de la </w:t>
      </w:r>
      <w:hyperlink r:id="rId8" w:tooltip="Convention nationale" w:history="1">
        <w:r w:rsidRPr="00207F18"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  <w:shd w:val="clear" w:color="auto" w:fill="FFFFFF"/>
          </w:rPr>
          <w:t>Convention nationale</w:t>
        </w:r>
      </w:hyperlink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 et la suspension temporaire de la </w:t>
      </w:r>
      <w:hyperlink r:id="rId9" w:tooltip="Constitution du 6 messidor an I" w:history="1">
        <w:r w:rsidRPr="00207F18"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  <w:shd w:val="clear" w:color="auto" w:fill="FFFFFF"/>
          </w:rPr>
          <w:t>Constitution de l'an I</w:t>
        </w:r>
      </w:hyperlink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 a pour but de faire face aux multiples troubles que connaît alors la France : </w:t>
      </w:r>
      <w:hyperlink r:id="rId10" w:tooltip="Fédéralistes" w:history="1">
        <w:r w:rsidRPr="00207F18"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  <w:shd w:val="clear" w:color="auto" w:fill="FFFFFF"/>
          </w:rPr>
          <w:t>révoltes de l’intérieur</w:t>
        </w:r>
      </w:hyperlink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, </w:t>
      </w:r>
      <w:hyperlink r:id="rId11" w:tooltip="Guerre de Vendée" w:history="1">
        <w:r w:rsidRPr="00207F18"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  <w:shd w:val="clear" w:color="auto" w:fill="FFFFFF"/>
          </w:rPr>
          <w:t>insurrection vendéenne</w:t>
        </w:r>
      </w:hyperlink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, </w:t>
      </w:r>
      <w:hyperlink r:id="rId12" w:tooltip="Première Coalition" w:history="1">
        <w:r w:rsidRPr="00207F18"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  <w:shd w:val="clear" w:color="auto" w:fill="FFFFFF"/>
          </w:rPr>
          <w:t>guerre extérieure</w:t>
        </w:r>
      </w:hyperlink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 menée par les puissances monarchistes d'Europe. La terreur se caractérise ainsi par un État d'exception destiné à endiguer militairement, politiquement, et économiquement la crise multiple à laquelle le pays est alors confronté.</w:t>
      </w:r>
    </w:p>
    <w:p w14:paraId="70FE9098" w14:textId="23B70859" w:rsidR="00207F18" w:rsidRPr="00207F18" w:rsidRDefault="00207F18" w:rsidP="00207F18">
      <w:pPr>
        <w:jc w:val="both"/>
        <w:rPr>
          <w:rStyle w:val="citation"/>
          <w:rFonts w:ascii="Comic Sans MS" w:hAnsi="Comic Sans MS" w:cs="Arial"/>
          <w:sz w:val="20"/>
          <w:szCs w:val="20"/>
          <w:shd w:val="clear" w:color="auto" w:fill="FFFFFF"/>
        </w:rPr>
      </w:pPr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Pour l'historien </w:t>
      </w:r>
      <w:hyperlink r:id="rId13" w:tooltip="Jean-Clément Martin" w:history="1">
        <w:r w:rsidRPr="00207F18"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  <w:shd w:val="clear" w:color="auto" w:fill="FFFFFF"/>
          </w:rPr>
          <w:t>Jean-Clément Martin</w:t>
        </w:r>
      </w:hyperlink>
      <w:r w:rsidRPr="00207F18">
        <w:rPr>
          <w:rFonts w:ascii="Comic Sans MS" w:hAnsi="Comic Sans MS" w:cs="Arial"/>
          <w:sz w:val="20"/>
          <w:szCs w:val="20"/>
          <w:shd w:val="clear" w:color="auto" w:fill="FFFFFF"/>
        </w:rPr>
        <w:t> : </w:t>
      </w:r>
      <w:r w:rsidRPr="00207F18">
        <w:rPr>
          <w:rStyle w:val="citation"/>
          <w:rFonts w:ascii="Comic Sans MS" w:hAnsi="Comic Sans MS" w:cs="Arial"/>
          <w:sz w:val="20"/>
          <w:szCs w:val="20"/>
          <w:shd w:val="clear" w:color="auto" w:fill="FFFFFF"/>
        </w:rPr>
        <w:t>« Le bilan humain demeure difficile, sinon impossible à faire</w:t>
      </w:r>
      <w:r>
        <w:rPr>
          <w:rStyle w:val="citation"/>
          <w:rFonts w:ascii="Comic Sans MS" w:hAnsi="Comic Sans MS" w:cs="Arial"/>
          <w:sz w:val="20"/>
          <w:szCs w:val="20"/>
          <w:shd w:val="clear" w:color="auto" w:fill="FFFFFF"/>
        </w:rPr>
        <w:t> »</w:t>
      </w:r>
      <w:r w:rsidRPr="00207F18">
        <w:rPr>
          <w:rStyle w:val="citation"/>
          <w:rFonts w:ascii="Comic Sans MS" w:hAnsi="Comic Sans MS" w:cs="Arial"/>
          <w:sz w:val="20"/>
          <w:szCs w:val="20"/>
          <w:shd w:val="clear" w:color="auto" w:fill="FFFFFF"/>
        </w:rPr>
        <w:t>. Dès 1795, les querelles à ce propos ont été importantes et improductives. Les estimations des condamnations judiciaires sont arrêtées depuis 1935 à une quarantaine de milliers, ne prenant pas en compte les massacres, tueries, exécutions et morts au combat </w:t>
      </w:r>
    </w:p>
    <w:p w14:paraId="7615DB83" w14:textId="3799DE2D" w:rsidR="002D19FF" w:rsidRPr="002D19FF" w:rsidRDefault="002D19FF" w:rsidP="002D19FF">
      <w:pPr>
        <w:jc w:val="right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9D511A" wp14:editId="5AB046D2">
                <wp:simplePos x="0" y="0"/>
                <wp:positionH relativeFrom="column">
                  <wp:posOffset>3952875</wp:posOffset>
                </wp:positionH>
                <wp:positionV relativeFrom="paragraph">
                  <wp:posOffset>958215</wp:posOffset>
                </wp:positionV>
                <wp:extent cx="2152650" cy="3471545"/>
                <wp:effectExtent l="0" t="0" r="19050" b="146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47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ACC7" w14:textId="5821A17A" w:rsidR="002D19FF" w:rsidRDefault="002D19FF">
                            <w:r w:rsidRPr="002D19FF">
                              <w:drawing>
                                <wp:inline distT="0" distB="0" distL="0" distR="0" wp14:anchorId="1D3CB604" wp14:editId="3D1F721F">
                                  <wp:extent cx="1866900" cy="3148542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024" cy="3167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D511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1.25pt;margin-top:75.45pt;width:169.5pt;height:273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">
                <v:textbox>
                  <w:txbxContent>
                    <w:p w14:paraId="429EACC7" w14:textId="5821A17A" w:rsidR="002D19FF" w:rsidRDefault="002D19FF">
                      <w:r w:rsidRPr="002D19FF">
                        <w:drawing>
                          <wp:inline distT="0" distB="0" distL="0" distR="0" wp14:anchorId="1D3CB604" wp14:editId="3D1F721F">
                            <wp:extent cx="1866900" cy="3148542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8024" cy="3167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FD" w:rsidRPr="007A05FD">
        <w:rPr>
          <w:rFonts w:ascii="Comic Sans MS" w:hAnsi="Comic Sans MS"/>
        </w:rPr>
        <w:drawing>
          <wp:inline distT="0" distB="0" distL="0" distR="0" wp14:anchorId="79593983" wp14:editId="34E1D7FA">
            <wp:extent cx="2706353" cy="25685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5254" cy="257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F18" w:rsidRPr="00395A2D">
        <w:rPr>
          <w:rFonts w:ascii="Comic Sans MS" w:hAnsi="Comic Sans MS"/>
        </w:rPr>
        <w:drawing>
          <wp:inline distT="0" distB="0" distL="0" distR="0" wp14:anchorId="5D7C6B80" wp14:editId="26DC589E">
            <wp:extent cx="2988276" cy="3000375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7882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9FF" w:rsidRPr="002D19FF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FA7AF" w14:textId="77777777" w:rsidR="00167E44" w:rsidRDefault="002D19FF">
    <w:pPr>
      <w:pStyle w:val="Pieddepage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796"/>
    <w:rsid w:val="00207F18"/>
    <w:rsid w:val="002D19FF"/>
    <w:rsid w:val="00520796"/>
    <w:rsid w:val="007A05FD"/>
    <w:rsid w:val="00B3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6E20A"/>
  <w15:chartTrackingRefBased/>
  <w15:docId w15:val="{CF58DBEA-33DB-47F4-950E-73F1B5E3E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F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07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7F18"/>
  </w:style>
  <w:style w:type="character" w:styleId="Lienhypertexte">
    <w:name w:val="Hyperlink"/>
    <w:basedOn w:val="Policepardfaut"/>
    <w:uiPriority w:val="99"/>
    <w:semiHidden/>
    <w:unhideWhenUsed/>
    <w:rsid w:val="00207F18"/>
    <w:rPr>
      <w:color w:val="0000FF"/>
      <w:u w:val="single"/>
    </w:rPr>
  </w:style>
  <w:style w:type="character" w:customStyle="1" w:styleId="citation">
    <w:name w:val="citation"/>
    <w:basedOn w:val="Policepardfaut"/>
    <w:rsid w:val="00207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Convention_nationale" TargetMode="External"/><Relationship Id="rId13" Type="http://schemas.openxmlformats.org/officeDocument/2006/relationships/hyperlink" Target="https://fr.wikipedia.org/wiki/Jean-Cl%C3%A9ment_Martin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Convention_nationale" TargetMode="External"/><Relationship Id="rId12" Type="http://schemas.openxmlformats.org/officeDocument/2006/relationships/hyperlink" Target="https://fr.wikipedia.org/wiki/Premi%C3%A8re_Coalition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s://fr.wikipedia.org/wiki/1794_en_France" TargetMode="External"/><Relationship Id="rId11" Type="http://schemas.openxmlformats.org/officeDocument/2006/relationships/hyperlink" Target="https://fr.wikipedia.org/wiki/Guerre_de_Vend%C3%A9e" TargetMode="External"/><Relationship Id="rId5" Type="http://schemas.openxmlformats.org/officeDocument/2006/relationships/hyperlink" Target="https://fr.wikipedia.org/wiki/1793_en_France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fr.wikipedia.org/wiki/F%C3%A9d%C3%A9ralistes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fr.wikipedia.org/wiki/R%C3%A9volution_fran%C3%A7aise" TargetMode="External"/><Relationship Id="rId9" Type="http://schemas.openxmlformats.org/officeDocument/2006/relationships/hyperlink" Target="https://fr.wikipedia.org/wiki/Constitution_du_6_messidor_an_I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 BOUCHAT</dc:creator>
  <cp:keywords/>
  <dc:description/>
  <cp:lastModifiedBy>Cyril BOUCHAT</cp:lastModifiedBy>
  <cp:revision>4</cp:revision>
  <dcterms:created xsi:type="dcterms:W3CDTF">2021-01-17T13:57:00Z</dcterms:created>
  <dcterms:modified xsi:type="dcterms:W3CDTF">2021-01-17T14:03:00Z</dcterms:modified>
</cp:coreProperties>
</file>